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24" w:rsidRPr="00D31EA2" w:rsidRDefault="00D31EA2" w:rsidP="00A738CD">
      <w:pPr>
        <w:spacing w:line="360" w:lineRule="auto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Guidance issued to approved intermediaries</w:t>
      </w:r>
    </w:p>
    <w:p w:rsidR="00D35FF1" w:rsidRPr="00A738CD" w:rsidRDefault="00D35FF1" w:rsidP="00A738CD">
      <w:pPr>
        <w:spacing w:line="360" w:lineRule="auto"/>
        <w:rPr>
          <w:rFonts w:ascii="Arial" w:hAnsi="Arial" w:cs="Arial"/>
        </w:rPr>
      </w:pPr>
      <w:r w:rsidRPr="00A738CD">
        <w:rPr>
          <w:rFonts w:ascii="Arial" w:hAnsi="Arial" w:cs="Arial"/>
        </w:rPr>
        <w:t> </w:t>
      </w:r>
    </w:p>
    <w:p w:rsidR="00C45CFA" w:rsidRPr="00A738CD" w:rsidRDefault="00986023" w:rsidP="00A738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Guidance </w:t>
      </w:r>
      <w:r w:rsidR="000434E6">
        <w:rPr>
          <w:rFonts w:ascii="Arial" w:hAnsi="Arial" w:cs="Arial"/>
          <w:lang w:eastAsia="en-GB"/>
        </w:rPr>
        <w:t xml:space="preserve">to intermediaries is </w:t>
      </w:r>
      <w:r>
        <w:rPr>
          <w:rFonts w:ascii="Arial" w:hAnsi="Arial" w:cs="Arial"/>
          <w:lang w:eastAsia="en-GB"/>
        </w:rPr>
        <w:t xml:space="preserve">revised </w:t>
      </w:r>
      <w:r w:rsidR="00C45CFA" w:rsidRPr="00A738CD">
        <w:rPr>
          <w:rFonts w:ascii="Arial" w:hAnsi="Arial" w:cs="Arial"/>
          <w:lang w:eastAsia="en-GB"/>
        </w:rPr>
        <w:t xml:space="preserve">following the judgment in </w:t>
      </w:r>
      <w:r w:rsidR="00D35FF1" w:rsidRPr="00A738CD">
        <w:rPr>
          <w:rFonts w:ascii="Arial" w:hAnsi="Arial" w:cs="Arial"/>
          <w:iCs/>
          <w:u w:val="single"/>
        </w:rPr>
        <w:t>Horton v Henry</w:t>
      </w:r>
      <w:r w:rsidR="00D35FF1" w:rsidRPr="00A738CD">
        <w:rPr>
          <w:rFonts w:ascii="Arial" w:hAnsi="Arial" w:cs="Arial"/>
          <w:i/>
          <w:iCs/>
        </w:rPr>
        <w:t xml:space="preserve"> </w:t>
      </w:r>
      <w:r w:rsidR="00D35FF1" w:rsidRPr="00A738CD">
        <w:rPr>
          <w:rFonts w:ascii="Arial" w:hAnsi="Arial" w:cs="Arial"/>
        </w:rPr>
        <w:t>[2014] EWHC 4209 (</w:t>
      </w:r>
      <w:proofErr w:type="spellStart"/>
      <w:r w:rsidR="00D35FF1" w:rsidRPr="00A738CD">
        <w:rPr>
          <w:rFonts w:ascii="Arial" w:hAnsi="Arial" w:cs="Arial"/>
        </w:rPr>
        <w:t>Ch</w:t>
      </w:r>
      <w:proofErr w:type="spellEnd"/>
      <w:r w:rsidR="00D35FF1" w:rsidRPr="00A738CD">
        <w:rPr>
          <w:rFonts w:ascii="Arial" w:hAnsi="Arial" w:cs="Arial"/>
        </w:rPr>
        <w:t>)</w:t>
      </w:r>
      <w:r w:rsidR="000434E6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with regard to </w:t>
      </w:r>
      <w:r w:rsidR="00C45CFA" w:rsidRPr="00A738CD">
        <w:rPr>
          <w:rFonts w:ascii="Arial" w:hAnsi="Arial" w:cs="Arial"/>
        </w:rPr>
        <w:t>the amendments to pension legislation which will come into effect in April 2015 giving extended access to personal pensions by individuals who are 55 or over.</w:t>
      </w:r>
    </w:p>
    <w:p w:rsidR="00C45CFA" w:rsidRPr="00A738CD" w:rsidRDefault="00C45CFA" w:rsidP="00A738CD">
      <w:pPr>
        <w:spacing w:line="360" w:lineRule="auto"/>
        <w:rPr>
          <w:rFonts w:ascii="Arial" w:hAnsi="Arial" w:cs="Arial"/>
        </w:rPr>
      </w:pPr>
    </w:p>
    <w:p w:rsidR="00C45CFA" w:rsidRPr="00A738CD" w:rsidRDefault="00C45CFA" w:rsidP="00A738CD">
      <w:pPr>
        <w:spacing w:line="360" w:lineRule="auto"/>
        <w:rPr>
          <w:rFonts w:ascii="Arial" w:hAnsi="Arial" w:cs="Arial"/>
        </w:rPr>
      </w:pPr>
      <w:r w:rsidRPr="00A738CD">
        <w:rPr>
          <w:rFonts w:ascii="Arial" w:hAnsi="Arial" w:cs="Arial"/>
        </w:rPr>
        <w:t xml:space="preserve">Until the decision of the Court of Appeal </w:t>
      </w:r>
      <w:r w:rsidR="005C7D55">
        <w:rPr>
          <w:rFonts w:ascii="Arial" w:hAnsi="Arial" w:cs="Arial"/>
        </w:rPr>
        <w:t xml:space="preserve">on the </w:t>
      </w:r>
      <w:r w:rsidR="005C7D55">
        <w:rPr>
          <w:rFonts w:ascii="Arial" w:hAnsi="Arial" w:cs="Arial"/>
          <w:u w:val="single"/>
        </w:rPr>
        <w:t>Horton v Henry</w:t>
      </w:r>
      <w:r w:rsidR="005C7D55">
        <w:rPr>
          <w:rFonts w:ascii="Arial" w:hAnsi="Arial" w:cs="Arial"/>
        </w:rPr>
        <w:t xml:space="preserve"> judgment </w:t>
      </w:r>
      <w:r w:rsidRPr="00A738CD">
        <w:rPr>
          <w:rFonts w:ascii="Arial" w:hAnsi="Arial" w:cs="Arial"/>
        </w:rPr>
        <w:t xml:space="preserve">is delivered the Service will follow the decision in </w:t>
      </w:r>
      <w:r w:rsidRPr="00A738CD">
        <w:rPr>
          <w:rFonts w:ascii="Arial" w:hAnsi="Arial" w:cs="Arial"/>
          <w:u w:val="single"/>
        </w:rPr>
        <w:t>Horton v Henry</w:t>
      </w:r>
      <w:r w:rsidRPr="00A738CD">
        <w:rPr>
          <w:rFonts w:ascii="Arial" w:hAnsi="Arial" w:cs="Arial"/>
          <w:i/>
        </w:rPr>
        <w:t xml:space="preserve"> </w:t>
      </w:r>
      <w:r w:rsidRPr="00A738CD">
        <w:rPr>
          <w:rFonts w:ascii="Arial" w:hAnsi="Arial" w:cs="Arial"/>
        </w:rPr>
        <w:t>as holding precedent</w:t>
      </w:r>
      <w:r w:rsidR="00986023">
        <w:rPr>
          <w:rFonts w:ascii="Arial" w:hAnsi="Arial" w:cs="Arial"/>
        </w:rPr>
        <w:t>;</w:t>
      </w:r>
      <w:r w:rsidRPr="00A738CD">
        <w:rPr>
          <w:rFonts w:ascii="Arial" w:hAnsi="Arial" w:cs="Arial"/>
        </w:rPr>
        <w:t xml:space="preserve"> the High Court having reached its decision after consideration of the earlier decisions [</w:t>
      </w:r>
      <w:r w:rsidRPr="00A738CD">
        <w:rPr>
          <w:rStyle w:val="Emphasis"/>
          <w:rFonts w:ascii="Arial" w:hAnsi="Arial" w:cs="Arial"/>
          <w:i w:val="0"/>
          <w:iCs w:val="0"/>
          <w:u w:val="single"/>
        </w:rPr>
        <w:t>Colchester Estates (Cardiff) v Carlton Industries Plc</w:t>
      </w:r>
      <w:r w:rsidRPr="00A738CD">
        <w:rPr>
          <w:rStyle w:val="Emphasis"/>
          <w:rFonts w:ascii="Arial" w:hAnsi="Arial" w:cs="Arial"/>
          <w:i w:val="0"/>
          <w:iCs w:val="0"/>
        </w:rPr>
        <w:t> </w:t>
      </w:r>
      <w:r w:rsidRPr="00A738CD">
        <w:rPr>
          <w:rFonts w:ascii="Arial" w:hAnsi="Arial" w:cs="Arial"/>
        </w:rPr>
        <w:t xml:space="preserve">[1986] </w:t>
      </w:r>
      <w:proofErr w:type="spellStart"/>
      <w:r w:rsidRPr="00A738CD">
        <w:rPr>
          <w:rFonts w:ascii="Arial" w:hAnsi="Arial" w:cs="Arial"/>
        </w:rPr>
        <w:t>Ch</w:t>
      </w:r>
      <w:proofErr w:type="spellEnd"/>
      <w:r w:rsidRPr="00A738CD">
        <w:rPr>
          <w:rFonts w:ascii="Arial" w:hAnsi="Arial" w:cs="Arial"/>
        </w:rPr>
        <w:t xml:space="preserve"> 80 refers]. Intermediaries should </w:t>
      </w:r>
      <w:r w:rsidR="000434E6">
        <w:rPr>
          <w:rFonts w:ascii="Arial" w:hAnsi="Arial" w:cs="Arial"/>
          <w:b/>
        </w:rPr>
        <w:t>not</w:t>
      </w:r>
      <w:r w:rsidRPr="00A738CD">
        <w:rPr>
          <w:rFonts w:ascii="Arial" w:hAnsi="Arial" w:cs="Arial"/>
        </w:rPr>
        <w:t xml:space="preserve"> consider an undrawn pension fund (which might be drawn</w:t>
      </w:r>
      <w:r w:rsidR="00986023">
        <w:rPr>
          <w:rFonts w:ascii="Arial" w:hAnsi="Arial" w:cs="Arial"/>
        </w:rPr>
        <w:t xml:space="preserve"> as the debtor is 55 or over</w:t>
      </w:r>
      <w:r w:rsidRPr="00A738CD">
        <w:rPr>
          <w:rFonts w:ascii="Arial" w:hAnsi="Arial" w:cs="Arial"/>
        </w:rPr>
        <w:t>) in the calculation of income.</w:t>
      </w:r>
      <w:r w:rsidR="005931C6">
        <w:rPr>
          <w:rFonts w:ascii="Arial" w:hAnsi="Arial" w:cs="Arial"/>
        </w:rPr>
        <w:t xml:space="preserve"> Only funds in payment as income need to be included in the calculation of surplus income.</w:t>
      </w:r>
    </w:p>
    <w:p w:rsidR="00C45CFA" w:rsidRPr="00A738CD" w:rsidRDefault="00C45CFA" w:rsidP="00A738CD">
      <w:pPr>
        <w:spacing w:line="360" w:lineRule="auto"/>
        <w:rPr>
          <w:rFonts w:ascii="Arial" w:hAnsi="Arial" w:cs="Arial"/>
        </w:rPr>
      </w:pPr>
    </w:p>
    <w:p w:rsidR="00C45CFA" w:rsidRPr="00A738CD" w:rsidRDefault="005931C6" w:rsidP="00A738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Undrawn pension entitlements remain excluded as assets for the purposes of assessing available assets</w:t>
      </w:r>
      <w:r w:rsidR="000434E6">
        <w:rPr>
          <w:rFonts w:ascii="Arial" w:hAnsi="Arial" w:cs="Arial"/>
        </w:rPr>
        <w:t xml:space="preserve"> in the application process</w:t>
      </w:r>
      <w:r>
        <w:rPr>
          <w:rFonts w:ascii="Arial" w:hAnsi="Arial" w:cs="Arial"/>
        </w:rPr>
        <w:t>.  However, f</w:t>
      </w:r>
      <w:r w:rsidR="00C45CFA" w:rsidRPr="00A738CD">
        <w:rPr>
          <w:rFonts w:ascii="Arial" w:hAnsi="Arial" w:cs="Arial"/>
        </w:rPr>
        <w:t>or entry into a DRO the debtor must be ‘unable to pay their debts’ in addition to meeting the asset and surplus income criteria.  Intermediaries are therefore asked to consider when assessing a debtor’s overall financial position whether an undrawn pension fund (which could be accessed) offers an alternative debt solution to a DRO.</w:t>
      </w:r>
    </w:p>
    <w:p w:rsidR="00C45CFA" w:rsidRPr="00A738CD" w:rsidRDefault="00C45CFA" w:rsidP="00A738CD">
      <w:pPr>
        <w:spacing w:line="360" w:lineRule="auto"/>
        <w:rPr>
          <w:rFonts w:ascii="Arial" w:hAnsi="Arial" w:cs="Arial"/>
        </w:rPr>
      </w:pPr>
    </w:p>
    <w:p w:rsidR="000434E6" w:rsidRDefault="00C45CFA" w:rsidP="00A738CD">
      <w:pPr>
        <w:spacing w:line="360" w:lineRule="auto"/>
        <w:rPr>
          <w:rFonts w:ascii="Arial" w:hAnsi="Arial" w:cs="Arial"/>
        </w:rPr>
      </w:pPr>
      <w:r w:rsidRPr="00A738CD">
        <w:rPr>
          <w:rFonts w:ascii="Arial" w:hAnsi="Arial" w:cs="Arial"/>
        </w:rPr>
        <w:t xml:space="preserve">Where the value of the pension fund exceeds </w:t>
      </w:r>
      <w:r w:rsidR="00B27924" w:rsidRPr="00A738CD">
        <w:rPr>
          <w:rFonts w:ascii="Arial" w:hAnsi="Arial" w:cs="Arial"/>
        </w:rPr>
        <w:t>the total debt, and the debtor is simply electing not to access those funds, then consideration should be given to whether the debtor is in fact ‘</w:t>
      </w:r>
      <w:proofErr w:type="gramStart"/>
      <w:r w:rsidR="00B27924" w:rsidRPr="00A738CD">
        <w:rPr>
          <w:rFonts w:ascii="Arial" w:hAnsi="Arial" w:cs="Arial"/>
        </w:rPr>
        <w:t>unable</w:t>
      </w:r>
      <w:proofErr w:type="gramEnd"/>
      <w:r w:rsidR="00B27924" w:rsidRPr="00A738CD">
        <w:rPr>
          <w:rFonts w:ascii="Arial" w:hAnsi="Arial" w:cs="Arial"/>
        </w:rPr>
        <w:t xml:space="preserve"> to pay their debts’.</w:t>
      </w:r>
      <w:r w:rsidR="000434E6" w:rsidRPr="000434E6">
        <w:rPr>
          <w:rFonts w:ascii="Arial" w:hAnsi="Arial" w:cs="Arial"/>
        </w:rPr>
        <w:t xml:space="preserve"> </w:t>
      </w:r>
      <w:r w:rsidR="000434E6" w:rsidRPr="00A738CD">
        <w:rPr>
          <w:rFonts w:ascii="Arial" w:hAnsi="Arial" w:cs="Arial"/>
        </w:rPr>
        <w:t xml:space="preserve">For the purposes of section 251C </w:t>
      </w:r>
      <w:r w:rsidR="000434E6">
        <w:rPr>
          <w:rFonts w:ascii="Arial" w:hAnsi="Arial" w:cs="Arial"/>
        </w:rPr>
        <w:t xml:space="preserve">of the Insolvency Act 1986 </w:t>
      </w:r>
      <w:r w:rsidR="000434E6" w:rsidRPr="00A738CD">
        <w:rPr>
          <w:rFonts w:ascii="Arial" w:hAnsi="Arial" w:cs="Arial"/>
        </w:rPr>
        <w:t xml:space="preserve">the official receiver </w:t>
      </w:r>
      <w:r w:rsidR="000434E6">
        <w:rPr>
          <w:rFonts w:ascii="Arial" w:hAnsi="Arial" w:cs="Arial"/>
        </w:rPr>
        <w:t>must be satisfied that the debtor is unable to pay their debts or she is obliged to refuse the application.</w:t>
      </w:r>
    </w:p>
    <w:p w:rsidR="00B27924" w:rsidRPr="00A738CD" w:rsidRDefault="00B27924" w:rsidP="00A738CD">
      <w:pPr>
        <w:spacing w:line="360" w:lineRule="auto"/>
        <w:rPr>
          <w:rFonts w:ascii="Arial" w:hAnsi="Arial" w:cs="Arial"/>
        </w:rPr>
      </w:pPr>
    </w:p>
    <w:p w:rsidR="000434E6" w:rsidRDefault="000434E6" w:rsidP="00A738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debtor is 55 or over </w:t>
      </w:r>
      <w:r w:rsidR="00F64DC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access to a personal pension fund </w:t>
      </w:r>
      <w:r w:rsidRPr="000434E6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the fund value is </w:t>
      </w:r>
      <w:r w:rsidR="00F64DCB">
        <w:rPr>
          <w:rFonts w:ascii="Arial" w:hAnsi="Arial" w:cs="Arial"/>
        </w:rPr>
        <w:t xml:space="preserve">considerably </w:t>
      </w:r>
      <w:r>
        <w:rPr>
          <w:rFonts w:ascii="Arial" w:hAnsi="Arial" w:cs="Arial"/>
        </w:rPr>
        <w:t>in excess of the debts owed the intermediary should contact the DRO Team to discuss whether the official receiver is likely to make a DRO in the circumstances of the case.</w:t>
      </w:r>
    </w:p>
    <w:p w:rsidR="000434E6" w:rsidRDefault="000434E6" w:rsidP="00A738CD">
      <w:pPr>
        <w:spacing w:line="360" w:lineRule="auto"/>
        <w:rPr>
          <w:rFonts w:ascii="Arial" w:hAnsi="Arial" w:cs="Arial"/>
        </w:rPr>
      </w:pPr>
    </w:p>
    <w:p w:rsidR="00BC71AF" w:rsidRDefault="00986023" w:rsidP="005C7D55">
      <w:pPr>
        <w:spacing w:line="360" w:lineRule="auto"/>
      </w:pPr>
      <w:r>
        <w:rPr>
          <w:rFonts w:ascii="Arial" w:hAnsi="Arial" w:cs="Arial"/>
        </w:rPr>
        <w:t xml:space="preserve">For clarity guidance to </w:t>
      </w:r>
      <w:r w:rsidR="000434E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fficial </w:t>
      </w:r>
      <w:r w:rsidR="000434E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eceivers who deal with bankruptcy cases </w:t>
      </w:r>
      <w:r w:rsidR="000434E6">
        <w:rPr>
          <w:rFonts w:ascii="Arial" w:hAnsi="Arial" w:cs="Arial"/>
        </w:rPr>
        <w:t xml:space="preserve">is also being amended and they are instructed to consider whether a debtor who has petitioned for their own bankruptcy </w:t>
      </w:r>
      <w:r w:rsidR="005931C6">
        <w:rPr>
          <w:rFonts w:ascii="Arial" w:hAnsi="Arial" w:cs="Arial"/>
        </w:rPr>
        <w:t>met the criteria of being unable to pay their debts</w:t>
      </w:r>
      <w:r w:rsidR="000434E6">
        <w:rPr>
          <w:rFonts w:ascii="Arial" w:hAnsi="Arial" w:cs="Arial"/>
        </w:rPr>
        <w:t xml:space="preserve"> when an undrawn but available pension fund is taken into consideration.</w:t>
      </w:r>
    </w:p>
    <w:sectPr w:rsidR="00BC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1"/>
    <w:rsid w:val="000434E6"/>
    <w:rsid w:val="00315671"/>
    <w:rsid w:val="00515246"/>
    <w:rsid w:val="005931C6"/>
    <w:rsid w:val="005C7D55"/>
    <w:rsid w:val="00986023"/>
    <w:rsid w:val="00A67A15"/>
    <w:rsid w:val="00A738CD"/>
    <w:rsid w:val="00B27924"/>
    <w:rsid w:val="00BC71AF"/>
    <w:rsid w:val="00C04CE2"/>
    <w:rsid w:val="00C45CFA"/>
    <w:rsid w:val="00CD6F91"/>
    <w:rsid w:val="00CE1AFF"/>
    <w:rsid w:val="00D31EA2"/>
    <w:rsid w:val="00D35FF1"/>
    <w:rsid w:val="00F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5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F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Shona.Manson</dc:creator>
  <cp:lastModifiedBy>Emma Evans</cp:lastModifiedBy>
  <cp:revision>2</cp:revision>
  <dcterms:created xsi:type="dcterms:W3CDTF">2015-04-17T19:22:00Z</dcterms:created>
  <dcterms:modified xsi:type="dcterms:W3CDTF">2015-04-17T19:22:00Z</dcterms:modified>
</cp:coreProperties>
</file>